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231E05" w:rsidRDefault="00692B79" w:rsidP="00692B79">
      <w:pPr>
        <w:rPr>
          <w:rFonts w:ascii="Arial" w:hAnsi="Arial" w:cs="Arial"/>
        </w:rPr>
      </w:pPr>
      <w:r w:rsidRPr="00231E05">
        <w:rPr>
          <w:rFonts w:ascii="Arial" w:hAnsi="Arial" w:cs="Arial"/>
        </w:rPr>
        <w:t xml:space="preserve">Pressemitteilung </w:t>
      </w:r>
    </w:p>
    <w:p w14:paraId="7DFAD283" w14:textId="2E13C85A" w:rsidR="00692B79" w:rsidRPr="00231E05" w:rsidRDefault="00692B79" w:rsidP="00692B79">
      <w:pPr>
        <w:rPr>
          <w:rFonts w:ascii="Arial" w:hAnsi="Arial" w:cs="Arial"/>
        </w:rPr>
      </w:pPr>
      <w:r w:rsidRPr="00231E05">
        <w:rPr>
          <w:rFonts w:ascii="Arial" w:hAnsi="Arial" w:cs="Arial"/>
        </w:rPr>
        <w:t xml:space="preserve">Nr. </w:t>
      </w:r>
      <w:r w:rsidR="00F85CA6">
        <w:rPr>
          <w:rFonts w:ascii="Arial" w:hAnsi="Arial" w:cs="Arial"/>
        </w:rPr>
        <w:t>6</w:t>
      </w:r>
      <w:r w:rsidR="00F322BE">
        <w:rPr>
          <w:rFonts w:ascii="Arial" w:hAnsi="Arial" w:cs="Arial"/>
        </w:rPr>
        <w:t>6</w:t>
      </w:r>
      <w:r w:rsidR="00D1726E">
        <w:rPr>
          <w:rFonts w:ascii="Arial" w:hAnsi="Arial" w:cs="Arial"/>
        </w:rPr>
        <w:t>1</w:t>
      </w:r>
      <w:r w:rsidR="00F425CE">
        <w:rPr>
          <w:rFonts w:ascii="Arial" w:hAnsi="Arial" w:cs="Arial"/>
        </w:rPr>
        <w:t>d</w:t>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sz w:val="20"/>
          <w:szCs w:val="20"/>
        </w:rPr>
        <w:t xml:space="preserve"> </w:t>
      </w:r>
    </w:p>
    <w:p w14:paraId="1A6AF8D5" w14:textId="77777777" w:rsidR="00692B79" w:rsidRPr="00231E05" w:rsidRDefault="00692B79" w:rsidP="00692B79">
      <w:pPr>
        <w:spacing w:line="360" w:lineRule="auto"/>
        <w:rPr>
          <w:rFonts w:ascii="Arial" w:hAnsi="Arial" w:cs="Arial"/>
          <w:b/>
          <w:sz w:val="28"/>
          <w:szCs w:val="28"/>
          <w:lang w:eastAsia="en-US"/>
        </w:rPr>
      </w:pPr>
    </w:p>
    <w:p w14:paraId="7C285BFF" w14:textId="77777777" w:rsidR="00D1726E" w:rsidRPr="00D1726E" w:rsidRDefault="00D1726E" w:rsidP="00D1726E">
      <w:pPr>
        <w:pStyle w:val="StandardWeb"/>
        <w:spacing w:line="360" w:lineRule="auto"/>
        <w:rPr>
          <w:rFonts w:ascii="Arial" w:hAnsi="Arial" w:cs="Arial"/>
          <w:b/>
          <w:bCs/>
          <w:sz w:val="32"/>
          <w:szCs w:val="32"/>
        </w:rPr>
      </w:pPr>
      <w:r w:rsidRPr="00D1726E">
        <w:rPr>
          <w:rFonts w:ascii="Arial" w:hAnsi="Arial" w:cs="Arial"/>
          <w:b/>
          <w:bCs/>
          <w:sz w:val="32"/>
          <w:szCs w:val="32"/>
        </w:rPr>
        <w:t>Präzise Farbprüfung von Vakuumbeschichtungen</w:t>
      </w:r>
    </w:p>
    <w:p w14:paraId="540D60F7" w14:textId="77777777" w:rsidR="00D1726E" w:rsidRDefault="00D1726E" w:rsidP="00D1726E">
      <w:pPr>
        <w:pStyle w:val="StandardWeb"/>
        <w:spacing w:line="360" w:lineRule="auto"/>
        <w:rPr>
          <w:rFonts w:ascii="Arial" w:hAnsi="Arial" w:cs="Arial"/>
          <w:b/>
          <w:sz w:val="22"/>
          <w:szCs w:val="22"/>
        </w:rPr>
      </w:pPr>
      <w:r w:rsidRPr="00D1726E">
        <w:rPr>
          <w:rFonts w:ascii="Arial" w:hAnsi="Arial" w:cs="Arial"/>
          <w:b/>
          <w:sz w:val="22"/>
          <w:szCs w:val="22"/>
        </w:rPr>
        <w:t>Der colorSENSOR CFO ermöglicht eine zuverlässige Inline-Farbprüfung von Vakuumbeschichtungen. An den Controller werden spezielle CFS-Sensoren angeschlossen, die Temperaturen bis zu 600 °C sowie Druck von bis zu 10</w:t>
      </w:r>
      <w:r w:rsidRPr="00D1726E">
        <w:rPr>
          <w:rFonts w:ascii="Cambria Math" w:hAnsi="Cambria Math" w:cs="Cambria Math"/>
          <w:b/>
          <w:sz w:val="22"/>
          <w:szCs w:val="22"/>
        </w:rPr>
        <w:t>⁻</w:t>
      </w:r>
      <w:r w:rsidRPr="00D1726E">
        <w:rPr>
          <w:rFonts w:ascii="Arial" w:hAnsi="Arial" w:cs="Arial"/>
          <w:b/>
          <w:sz w:val="22"/>
          <w:szCs w:val="22"/>
        </w:rPr>
        <w:t>⁵ mbar standhalten und so direkt in einer Vakuumkammer messen können.</w:t>
      </w:r>
    </w:p>
    <w:p w14:paraId="1CCE8F25" w14:textId="5A9CFFC7" w:rsidR="00D1726E" w:rsidRPr="00D1726E" w:rsidRDefault="00D1726E" w:rsidP="00D1726E">
      <w:pPr>
        <w:pStyle w:val="StandardWeb"/>
        <w:spacing w:line="360" w:lineRule="auto"/>
        <w:rPr>
          <w:rFonts w:ascii="Arial" w:hAnsi="Arial" w:cs="Arial"/>
          <w:sz w:val="22"/>
          <w:szCs w:val="22"/>
        </w:rPr>
      </w:pPr>
      <w:r w:rsidRPr="00D1726E">
        <w:rPr>
          <w:rFonts w:ascii="Arial" w:hAnsi="Arial" w:cs="Arial"/>
          <w:sz w:val="22"/>
          <w:szCs w:val="22"/>
        </w:rPr>
        <w:t>Vakuumbeschichtungen finden in zahlreichen Hightech-Branchen Anwendung – von Automotive über Optik und Medizintechnik bis zur Unterhaltungselektronik. Neben funktionalen Eigenschaften beeinflussen die Beschichtungen auch die optische Erscheinung eines Bauteils. Da Farbe, Sättigung und Glanzgrad stark von den Prozessparametern abhängen, führen selbst kleinste Abweichungen zu sichtbaren Farbunterschieden. Eine präzise, reproduzierbare Farbprüfung ist daher ein wesentlicher Bestandteil der Qualitätssicherung.</w:t>
      </w:r>
    </w:p>
    <w:p w14:paraId="3B564267" w14:textId="77777777" w:rsidR="00D1726E" w:rsidRPr="00D1726E" w:rsidRDefault="00D1726E" w:rsidP="00D1726E">
      <w:pPr>
        <w:pStyle w:val="StandardWeb"/>
        <w:spacing w:line="360" w:lineRule="auto"/>
        <w:rPr>
          <w:rFonts w:ascii="Arial" w:hAnsi="Arial" w:cs="Arial"/>
          <w:sz w:val="22"/>
          <w:szCs w:val="22"/>
        </w:rPr>
      </w:pPr>
      <w:r w:rsidRPr="00D1726E">
        <w:rPr>
          <w:rFonts w:ascii="Arial" w:hAnsi="Arial" w:cs="Arial"/>
          <w:b/>
          <w:bCs/>
          <w:sz w:val="22"/>
          <w:szCs w:val="22"/>
        </w:rPr>
        <w:t>Inline-Messung unter extremen Prozessbedingungen</w:t>
      </w:r>
    </w:p>
    <w:p w14:paraId="773E3997" w14:textId="77777777" w:rsidR="00D1726E" w:rsidRDefault="00D1726E" w:rsidP="00D1726E">
      <w:pPr>
        <w:pStyle w:val="StandardWeb"/>
        <w:spacing w:line="360" w:lineRule="auto"/>
        <w:rPr>
          <w:rFonts w:ascii="Arial" w:hAnsi="Arial" w:cs="Arial"/>
          <w:sz w:val="22"/>
          <w:szCs w:val="22"/>
        </w:rPr>
      </w:pPr>
      <w:r w:rsidRPr="00D1726E">
        <w:rPr>
          <w:rFonts w:ascii="Arial" w:hAnsi="Arial" w:cs="Arial"/>
          <w:sz w:val="22"/>
          <w:szCs w:val="22"/>
        </w:rPr>
        <w:t>Der colorSENSOR CFO ermöglicht eine kontinuierliche Farbmessung direkt in der Vakuumkammer. Hierbei kommen speziell entwickelte CFS-Sensoren zum Einsatz, die Messungen bei Druck bis zu 10</w:t>
      </w:r>
      <w:r w:rsidRPr="00D1726E">
        <w:rPr>
          <w:rFonts w:ascii="Cambria Math" w:hAnsi="Cambria Math" w:cs="Cambria Math"/>
          <w:sz w:val="22"/>
          <w:szCs w:val="22"/>
        </w:rPr>
        <w:t>⁻</w:t>
      </w:r>
      <w:r w:rsidRPr="00D1726E">
        <w:rPr>
          <w:rFonts w:ascii="Arial" w:hAnsi="Arial" w:cs="Arial"/>
          <w:sz w:val="22"/>
          <w:szCs w:val="22"/>
        </w:rPr>
        <w:t>⁵ mbar (Hochvakuum) und Temperaturen bis zu 600 °C zuverlässig durchführen. Mit einer Reproduzierbarkeit von ΔE &lt; 0,3 und Messfrequenzen von bis zu 30 kHz lassen sich Prozessparameter in Echtzeit überwachen und regeln. Dies sorgt für eine hohe Stabilität im Beschichtungsprozess und reduziert Ausschuss signifikant.</w:t>
      </w:r>
    </w:p>
    <w:p w14:paraId="61883A8C" w14:textId="77777777" w:rsidR="00D1726E" w:rsidRDefault="00D1726E" w:rsidP="00D1726E">
      <w:pPr>
        <w:pStyle w:val="StandardWeb"/>
        <w:spacing w:line="360" w:lineRule="auto"/>
        <w:rPr>
          <w:rFonts w:ascii="Arial" w:hAnsi="Arial" w:cs="Arial"/>
          <w:sz w:val="22"/>
          <w:szCs w:val="22"/>
        </w:rPr>
      </w:pPr>
    </w:p>
    <w:p w14:paraId="68D0D146" w14:textId="77777777" w:rsidR="00D1726E" w:rsidRDefault="00D1726E" w:rsidP="00D1726E">
      <w:pPr>
        <w:pStyle w:val="StandardWeb"/>
        <w:spacing w:line="360" w:lineRule="auto"/>
        <w:rPr>
          <w:rFonts w:ascii="Arial" w:hAnsi="Arial" w:cs="Arial"/>
          <w:sz w:val="22"/>
          <w:szCs w:val="22"/>
        </w:rPr>
      </w:pPr>
    </w:p>
    <w:p w14:paraId="53600753" w14:textId="77777777" w:rsidR="00D1726E" w:rsidRDefault="00D1726E" w:rsidP="00D1726E">
      <w:pPr>
        <w:pStyle w:val="StandardWeb"/>
        <w:spacing w:line="360" w:lineRule="auto"/>
        <w:rPr>
          <w:rFonts w:ascii="Arial" w:hAnsi="Arial" w:cs="Arial"/>
          <w:sz w:val="22"/>
          <w:szCs w:val="22"/>
        </w:rPr>
      </w:pPr>
    </w:p>
    <w:p w14:paraId="4C5DDCB1" w14:textId="77777777" w:rsidR="00D1726E" w:rsidRPr="00D1726E" w:rsidRDefault="00D1726E" w:rsidP="00D1726E">
      <w:pPr>
        <w:pStyle w:val="StandardWeb"/>
        <w:spacing w:line="360" w:lineRule="auto"/>
        <w:rPr>
          <w:rFonts w:ascii="Arial" w:hAnsi="Arial" w:cs="Arial"/>
          <w:sz w:val="22"/>
          <w:szCs w:val="22"/>
        </w:rPr>
      </w:pPr>
    </w:p>
    <w:p w14:paraId="29343D55" w14:textId="77777777" w:rsidR="00D1726E" w:rsidRPr="00D1726E" w:rsidRDefault="00D1726E" w:rsidP="00D1726E">
      <w:pPr>
        <w:pStyle w:val="StandardWeb"/>
        <w:spacing w:line="360" w:lineRule="auto"/>
        <w:rPr>
          <w:rFonts w:ascii="Arial" w:hAnsi="Arial" w:cs="Arial"/>
          <w:sz w:val="22"/>
          <w:szCs w:val="22"/>
        </w:rPr>
      </w:pPr>
      <w:r w:rsidRPr="00D1726E">
        <w:rPr>
          <w:rFonts w:ascii="Arial" w:hAnsi="Arial" w:cs="Arial"/>
          <w:b/>
          <w:bCs/>
          <w:sz w:val="22"/>
          <w:szCs w:val="22"/>
        </w:rPr>
        <w:t>Konstante Farbqualität für anspruchsvolle Oberflächen</w:t>
      </w:r>
    </w:p>
    <w:p w14:paraId="7D4D54B0" w14:textId="47E8416D" w:rsidR="00D1726E" w:rsidRDefault="00D1726E" w:rsidP="00F85CA6">
      <w:pPr>
        <w:pStyle w:val="StandardWeb"/>
        <w:spacing w:line="360" w:lineRule="auto"/>
        <w:rPr>
          <w:rFonts w:ascii="Arial" w:hAnsi="Arial" w:cs="Arial"/>
          <w:sz w:val="22"/>
          <w:szCs w:val="22"/>
        </w:rPr>
      </w:pPr>
      <w:r w:rsidRPr="00D1726E">
        <w:rPr>
          <w:rFonts w:ascii="Arial" w:hAnsi="Arial" w:cs="Arial"/>
          <w:sz w:val="22"/>
          <w:szCs w:val="22"/>
        </w:rPr>
        <w:t>Vakuumbeschichtungen werden entweder physikalisch (PVD-Verfahren) oder chemisch (CVD-Verfahren) auf die Oberfläche aufgetragen. PVD- und CVD-Beschichtungen stellen jeweils unterschiedliche Anforderungen an Prozessführung und Temperaturmanagement. Während PVD-Verfahren durch Verdampfung oder Sputterprozesse geprägt sind, beruhen CVD-Verfahren auf chemischen Reaktionen in der Prozesskammer. Der colorSENSOR CFO unterstützt beide Technologien durch eine zuverlässige, prozessnahe Farbüberwachung. Die gewonnenen Messdaten helfen dabei, Schichtqualität und optische Eigenschaften über verschiedene Verfahren und Materialsysteme hinweg konstant zu halten.</w:t>
      </w:r>
    </w:p>
    <w:p w14:paraId="22CDE736" w14:textId="34F5C2C7" w:rsidR="00AD49A1" w:rsidRDefault="00532ED4" w:rsidP="00D73B30">
      <w:pPr>
        <w:pStyle w:val="StandardWeb"/>
        <w:spacing w:line="360" w:lineRule="auto"/>
        <w:ind w:left="3540" w:firstLine="708"/>
        <w:rPr>
          <w:rFonts w:ascii="Arial" w:hAnsi="Arial" w:cs="Arial"/>
          <w:i/>
          <w:sz w:val="22"/>
          <w:szCs w:val="22"/>
          <w:lang w:eastAsia="en-US"/>
        </w:rPr>
      </w:pPr>
      <w:r w:rsidRPr="002F426A">
        <w:rPr>
          <w:rFonts w:ascii="Arial" w:hAnsi="Arial" w:cs="Arial"/>
          <w:i/>
          <w:sz w:val="22"/>
          <w:szCs w:val="22"/>
          <w:lang w:eastAsia="en-US"/>
        </w:rPr>
        <w:t xml:space="preserve">ca. </w:t>
      </w:r>
      <w:r w:rsidR="00130FAC">
        <w:rPr>
          <w:rFonts w:ascii="Arial" w:hAnsi="Arial" w:cs="Arial"/>
          <w:i/>
          <w:sz w:val="22"/>
          <w:szCs w:val="22"/>
          <w:lang w:eastAsia="en-US"/>
        </w:rPr>
        <w:t>2</w:t>
      </w:r>
      <w:r w:rsidR="00F85CA6">
        <w:rPr>
          <w:rFonts w:ascii="Arial" w:hAnsi="Arial" w:cs="Arial"/>
          <w:i/>
          <w:sz w:val="22"/>
          <w:szCs w:val="22"/>
          <w:lang w:eastAsia="en-US"/>
        </w:rPr>
        <w:t>.</w:t>
      </w:r>
      <w:r w:rsidR="00D1726E">
        <w:rPr>
          <w:rFonts w:ascii="Arial" w:hAnsi="Arial" w:cs="Arial"/>
          <w:i/>
          <w:sz w:val="22"/>
          <w:szCs w:val="22"/>
          <w:lang w:eastAsia="en-US"/>
        </w:rPr>
        <w:t>1</w:t>
      </w:r>
      <w:r w:rsidR="00F85CA6">
        <w:rPr>
          <w:rFonts w:ascii="Arial" w:hAnsi="Arial" w:cs="Arial"/>
          <w:i/>
          <w:sz w:val="22"/>
          <w:szCs w:val="22"/>
          <w:lang w:eastAsia="en-US"/>
        </w:rPr>
        <w:t>00</w:t>
      </w:r>
      <w:r w:rsidR="00692B79" w:rsidRPr="002F426A">
        <w:rPr>
          <w:rFonts w:ascii="Arial" w:hAnsi="Arial" w:cs="Arial"/>
          <w:i/>
          <w:sz w:val="22"/>
          <w:szCs w:val="22"/>
          <w:lang w:eastAsia="en-US"/>
        </w:rPr>
        <w:t xml:space="preserve"> Zeichen</w:t>
      </w:r>
    </w:p>
    <w:p w14:paraId="502BD5F0" w14:textId="3E1E8BAE" w:rsidR="006256DF" w:rsidRPr="00D1726E" w:rsidRDefault="00D1726E" w:rsidP="00937FED">
      <w:pPr>
        <w:pStyle w:val="StandardWeb"/>
        <w:spacing w:line="360" w:lineRule="auto"/>
        <w:rPr>
          <w:rFonts w:ascii="Arial" w:hAnsi="Arial" w:cs="Arial"/>
          <w:sz w:val="22"/>
          <w:szCs w:val="22"/>
          <w:shd w:val="clear" w:color="auto" w:fill="FFFFFF"/>
        </w:rPr>
      </w:pPr>
      <w:r>
        <w:rPr>
          <w:rFonts w:ascii="Arial" w:hAnsi="Arial"/>
          <w:noProof/>
          <w:sz w:val="22"/>
          <w:szCs w:val="22"/>
        </w:rPr>
        <w:drawing>
          <wp:inline distT="0" distB="0" distL="0" distR="0" wp14:anchorId="132E47C1" wp14:editId="533E0B4F">
            <wp:extent cx="4229100" cy="2819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00C6659B" w:rsidRPr="00130FAC">
        <w:rPr>
          <w:rFonts w:ascii="Arial" w:hAnsi="Arial"/>
          <w:sz w:val="22"/>
          <w:szCs w:val="22"/>
        </w:rPr>
        <w:t xml:space="preserve"> (</w:t>
      </w:r>
      <w:r w:rsidR="00FA65A1" w:rsidRPr="00FA65A1">
        <w:rPr>
          <w:rFonts w:ascii="Arial" w:hAnsi="Arial" w:cs="Arial"/>
          <w:sz w:val="22"/>
          <w:szCs w:val="22"/>
          <w:shd w:val="clear" w:color="auto" w:fill="FFFFFF"/>
        </w:rPr>
        <w:t>PR661_colorSENSOR_CFO_Farbmessung_Vakuum</w:t>
      </w:r>
      <w:r w:rsidR="001F1F0C" w:rsidRPr="00130FAC">
        <w:rPr>
          <w:rFonts w:ascii="Arial" w:hAnsi="Arial" w:cs="Arial"/>
          <w:sz w:val="22"/>
          <w:szCs w:val="22"/>
          <w:shd w:val="clear" w:color="auto" w:fill="FFFFFF"/>
        </w:rPr>
        <w:t>.jpg</w:t>
      </w:r>
      <w:r w:rsidR="006256DF" w:rsidRPr="00130FAC">
        <w:rPr>
          <w:rFonts w:ascii="Arial" w:hAnsi="Arial" w:cs="Arial"/>
          <w:sz w:val="22"/>
          <w:szCs w:val="22"/>
        </w:rPr>
        <w:t>)</w:t>
      </w:r>
    </w:p>
    <w:sectPr w:rsidR="006256DF" w:rsidRPr="00D1726E" w:rsidSect="00F86DF1">
      <w:headerReference w:type="default" r:id="rId7"/>
      <w:footerReference w:type="default" r:id="rId8"/>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Lt BT">
    <w:panose1 w:val="020B0403020202020204"/>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1"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FA65A1" w:rsidP="00F86DF1">
                          <w:pPr>
                            <w:pStyle w:val="Fuzeile"/>
                            <w:jc w:val="right"/>
                            <w:rPr>
                              <w:rFonts w:ascii="Swis721 Lt BT" w:hAnsi="Swis721 Lt BT"/>
                              <w:sz w:val="12"/>
                              <w:szCs w:val="12"/>
                            </w:rPr>
                          </w:pPr>
                          <w:hyperlink r:id="rId2"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 xml:space="preserve">Micro-Epsilon </w:t>
                    </w:r>
                    <w:proofErr w:type="spellStart"/>
                    <w:r w:rsidRPr="00F86DF1">
                      <w:rPr>
                        <w:rFonts w:ascii="Swis721 Lt BT" w:hAnsi="Swis721 Lt BT"/>
                        <w:b/>
                        <w:sz w:val="12"/>
                        <w:szCs w:val="12"/>
                        <w:lang w:val="it-IT"/>
                      </w:rPr>
                      <w:t>Messtechnik</w:t>
                    </w:r>
                    <w:proofErr w:type="spellEnd"/>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3"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D1726E" w:rsidP="00F86DF1">
                    <w:pPr>
                      <w:pStyle w:val="Fuzeile"/>
                      <w:jc w:val="right"/>
                      <w:rPr>
                        <w:rFonts w:ascii="Swis721 Lt BT" w:hAnsi="Swis721 Lt BT"/>
                        <w:sz w:val="12"/>
                        <w:szCs w:val="12"/>
                      </w:rPr>
                    </w:pPr>
                    <w:hyperlink r:id="rId4"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FA65A1"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27033810" r:id="rId2"/>
      </w:obje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9715D"/>
    <w:rsid w:val="000A4B1F"/>
    <w:rsid w:val="000B5D18"/>
    <w:rsid w:val="000D6124"/>
    <w:rsid w:val="000F4917"/>
    <w:rsid w:val="00117634"/>
    <w:rsid w:val="0012781A"/>
    <w:rsid w:val="00130FAC"/>
    <w:rsid w:val="00133C8F"/>
    <w:rsid w:val="00137BD8"/>
    <w:rsid w:val="001434EE"/>
    <w:rsid w:val="001445F7"/>
    <w:rsid w:val="001520CE"/>
    <w:rsid w:val="00157476"/>
    <w:rsid w:val="00162D7B"/>
    <w:rsid w:val="001773B6"/>
    <w:rsid w:val="00181F79"/>
    <w:rsid w:val="00185BB3"/>
    <w:rsid w:val="001865CD"/>
    <w:rsid w:val="00191A69"/>
    <w:rsid w:val="001920D2"/>
    <w:rsid w:val="001A0FDB"/>
    <w:rsid w:val="001A34B7"/>
    <w:rsid w:val="001B32B5"/>
    <w:rsid w:val="001B6DB9"/>
    <w:rsid w:val="001C2B2E"/>
    <w:rsid w:val="001C7910"/>
    <w:rsid w:val="001E42AC"/>
    <w:rsid w:val="001F1F0C"/>
    <w:rsid w:val="001F4101"/>
    <w:rsid w:val="002071AB"/>
    <w:rsid w:val="002133BE"/>
    <w:rsid w:val="002258F0"/>
    <w:rsid w:val="00231E05"/>
    <w:rsid w:val="00242ABA"/>
    <w:rsid w:val="00276785"/>
    <w:rsid w:val="00296AA5"/>
    <w:rsid w:val="00296B2D"/>
    <w:rsid w:val="002A3DF9"/>
    <w:rsid w:val="002B6147"/>
    <w:rsid w:val="002C0F7E"/>
    <w:rsid w:val="002C3431"/>
    <w:rsid w:val="002C3636"/>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C5AF5"/>
    <w:rsid w:val="004D3AC7"/>
    <w:rsid w:val="004E2AB7"/>
    <w:rsid w:val="004E3C72"/>
    <w:rsid w:val="005028E2"/>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402"/>
    <w:rsid w:val="005F5115"/>
    <w:rsid w:val="006049CC"/>
    <w:rsid w:val="00610D20"/>
    <w:rsid w:val="006256DF"/>
    <w:rsid w:val="0063789F"/>
    <w:rsid w:val="006660D1"/>
    <w:rsid w:val="006732F5"/>
    <w:rsid w:val="00676DC9"/>
    <w:rsid w:val="00682299"/>
    <w:rsid w:val="00685ED1"/>
    <w:rsid w:val="00690B46"/>
    <w:rsid w:val="00691019"/>
    <w:rsid w:val="00692B79"/>
    <w:rsid w:val="006A12FD"/>
    <w:rsid w:val="006A2C70"/>
    <w:rsid w:val="006B3638"/>
    <w:rsid w:val="006B5175"/>
    <w:rsid w:val="006E5B66"/>
    <w:rsid w:val="006F0949"/>
    <w:rsid w:val="007047B1"/>
    <w:rsid w:val="007075C0"/>
    <w:rsid w:val="00715E2F"/>
    <w:rsid w:val="00720300"/>
    <w:rsid w:val="00726240"/>
    <w:rsid w:val="0073128E"/>
    <w:rsid w:val="00736B2F"/>
    <w:rsid w:val="0073759E"/>
    <w:rsid w:val="00745641"/>
    <w:rsid w:val="00746FE1"/>
    <w:rsid w:val="00747E03"/>
    <w:rsid w:val="00750A2D"/>
    <w:rsid w:val="007760BE"/>
    <w:rsid w:val="00782BFF"/>
    <w:rsid w:val="00787865"/>
    <w:rsid w:val="007910F1"/>
    <w:rsid w:val="007A02DD"/>
    <w:rsid w:val="007A698A"/>
    <w:rsid w:val="007B4B67"/>
    <w:rsid w:val="007B7F3D"/>
    <w:rsid w:val="007C3D8F"/>
    <w:rsid w:val="007D5519"/>
    <w:rsid w:val="007D7754"/>
    <w:rsid w:val="007E3338"/>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742"/>
    <w:rsid w:val="00AA13D5"/>
    <w:rsid w:val="00AA21D6"/>
    <w:rsid w:val="00AB035C"/>
    <w:rsid w:val="00AB2720"/>
    <w:rsid w:val="00AC1C7C"/>
    <w:rsid w:val="00AC44A8"/>
    <w:rsid w:val="00AD00A7"/>
    <w:rsid w:val="00AD49A1"/>
    <w:rsid w:val="00AD5B8F"/>
    <w:rsid w:val="00B068B5"/>
    <w:rsid w:val="00B12615"/>
    <w:rsid w:val="00B13F83"/>
    <w:rsid w:val="00B20002"/>
    <w:rsid w:val="00B36411"/>
    <w:rsid w:val="00B40474"/>
    <w:rsid w:val="00B51196"/>
    <w:rsid w:val="00B70545"/>
    <w:rsid w:val="00B753BE"/>
    <w:rsid w:val="00B908A7"/>
    <w:rsid w:val="00B9524F"/>
    <w:rsid w:val="00BB3C44"/>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83529"/>
    <w:rsid w:val="00F85CA6"/>
    <w:rsid w:val="00F87143"/>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lang w:eastAsia="de-DE"/>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lang w:eastAsia="de-DE"/>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lang w:eastAsia="en-US"/>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de/presse" TargetMode="External"/><Relationship Id="rId1" Type="http://schemas.openxmlformats.org/officeDocument/2006/relationships/hyperlink" Target="http://www.micro-epsilon.com" TargetMode="External"/><Relationship Id="rId4" Type="http://schemas.openxmlformats.org/officeDocument/2006/relationships/hyperlink" Target="http://www.micro-epsilon.de/presse"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~WRL0001.tmp</Template>
  <TotalTime>0</TotalTime>
  <Pages>2</Pages>
  <Words>302</Words>
  <Characters>1904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Loibl, Patrick</cp:lastModifiedBy>
  <cp:revision>38</cp:revision>
  <dcterms:created xsi:type="dcterms:W3CDTF">2025-03-20T12:09:00Z</dcterms:created>
  <dcterms:modified xsi:type="dcterms:W3CDTF">2025-12-12T07:37:00Z</dcterms:modified>
</cp:coreProperties>
</file>